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186836">
      <w:pPr>
        <w:tabs>
          <w:tab w:val="right" w:pos="9639"/>
        </w:tabs>
        <w:rPr>
          <w:rFonts w:hint="default" w:ascii="Arial" w:hAnsi="Arial" w:eastAsia="宋体" w:cs="Arial"/>
          <w:b/>
          <w:sz w:val="22"/>
          <w:szCs w:val="22"/>
          <w:lang w:val="en-US" w:eastAsia="zh-CN"/>
        </w:rPr>
      </w:pPr>
      <w:r>
        <w:rPr>
          <w:rFonts w:ascii="Arial" w:hAnsi="Arial" w:cs="Arial"/>
          <w:b/>
          <w:sz w:val="22"/>
          <w:szCs w:val="22"/>
        </w:rPr>
        <w:t>3GPP TSG-SA3 Meeting #120</w:t>
      </w:r>
      <w:r>
        <w:rPr>
          <w:rFonts w:ascii="Arial" w:hAnsi="Arial" w:cs="Arial"/>
          <w:b/>
          <w:sz w:val="22"/>
          <w:szCs w:val="22"/>
        </w:rPr>
        <w:tab/>
      </w:r>
      <w:r>
        <w:rPr>
          <w:rFonts w:ascii="Arial" w:hAnsi="Arial" w:cs="Arial"/>
          <w:b/>
          <w:sz w:val="22"/>
          <w:szCs w:val="22"/>
        </w:rPr>
        <w:t>S3-25</w:t>
      </w:r>
      <w:r>
        <w:rPr>
          <w:rFonts w:hint="eastAsia" w:ascii="Arial" w:hAnsi="Arial" w:eastAsia="宋体" w:cs="Arial"/>
          <w:b/>
          <w:sz w:val="22"/>
          <w:szCs w:val="22"/>
          <w:lang w:val="en-US" w:eastAsia="zh-CN"/>
        </w:rPr>
        <w:t>0764</w:t>
      </w:r>
    </w:p>
    <w:p w14:paraId="11C88A41">
      <w:pPr>
        <w:pStyle w:val="11"/>
        <w:widowControl w:val="0"/>
        <w:pBdr>
          <w:bottom w:val="single" w:color="auto" w:sz="4" w:space="1"/>
        </w:pBdr>
        <w:tabs>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cs="Arial"/>
          <w:b/>
          <w:sz w:val="22"/>
          <w:szCs w:val="22"/>
        </w:rPr>
        <w:t>Athens, Greece, 17 - 21 February 2025</w:t>
      </w:r>
      <w:r>
        <w:tab/>
      </w:r>
      <w:r>
        <w:rPr>
          <w:rFonts w:ascii="Arial" w:hAnsi="Arial" w:eastAsia="Batang" w:cs="Arial"/>
          <w:b/>
          <w:lang w:eastAsia="zh-CN"/>
        </w:rPr>
        <w:t>(revision of xx-yyxxxx)</w:t>
      </w:r>
    </w:p>
    <w:p w14:paraId="05B0D0A8">
      <w:pPr>
        <w:pBdr>
          <w:bottom w:val="single" w:color="auto" w:sz="4" w:space="1"/>
        </w:pBdr>
        <w:tabs>
          <w:tab w:val="right" w:pos="9639"/>
        </w:tabs>
        <w:jc w:val="both"/>
        <w:outlineLvl w:val="0"/>
        <w:rPr>
          <w:rFonts w:ascii="Arial" w:hAnsi="Arial" w:eastAsia="Batang" w:cs="Arial"/>
          <w:b/>
          <w:sz w:val="24"/>
          <w:lang w:eastAsia="zh-CN"/>
        </w:rPr>
      </w:pPr>
    </w:p>
    <w:p w14:paraId="6B417959">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China Mobile</w:t>
      </w:r>
    </w:p>
    <w:p w14:paraId="49D92DA3">
      <w:pPr>
        <w:tabs>
          <w:tab w:val="left" w:pos="2127"/>
        </w:tabs>
        <w:ind w:left="2127" w:hanging="2127"/>
        <w:jc w:val="both"/>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New</w:t>
      </w:r>
      <w:r>
        <w:rPr>
          <w:rFonts w:hint="eastAsia" w:ascii="Arial" w:hAnsi="Arial" w:eastAsia="Batang" w:cs="Arial"/>
          <w:b/>
          <w:sz w:val="24"/>
          <w:szCs w:val="24"/>
          <w:lang w:val="en-US" w:eastAsia="zh-CN"/>
        </w:rPr>
        <w:t xml:space="preserve"> S</w:t>
      </w:r>
      <w:r>
        <w:rPr>
          <w:rFonts w:ascii="Arial" w:hAnsi="Arial" w:eastAsia="Batang" w:cs="Arial"/>
          <w:b/>
          <w:sz w:val="24"/>
          <w:szCs w:val="24"/>
          <w:lang w:eastAsia="zh-CN"/>
        </w:rPr>
        <w:t>ID on</w:t>
      </w:r>
      <w:r>
        <w:rPr>
          <w:rFonts w:hint="eastAsia" w:ascii="Arial" w:hAnsi="Arial" w:eastAsia="Batang" w:cs="Arial"/>
          <w:b/>
          <w:sz w:val="24"/>
          <w:szCs w:val="24"/>
          <w:lang w:val="en-US" w:eastAsia="zh-CN"/>
        </w:rPr>
        <w:t xml:space="preserve"> enhanced security management service about security policy provisioning</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468BC6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6</w:t>
      </w:r>
    </w:p>
    <w:p w14:paraId="110F6C52">
      <w:pPr>
        <w:rPr>
          <w:rFonts w:eastAsia="Batang"/>
          <w:lang w:val="en-US" w:eastAsia="zh-CN"/>
        </w:rPr>
      </w:pPr>
    </w:p>
    <w:p w14:paraId="17BB372B">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 Study on enhanced security management service about security policy provisioning</w:t>
      </w:r>
      <w:r>
        <w:rPr>
          <w:rFonts w:ascii="Arial" w:hAnsi="Arial" w:eastAsia="Times New Roman" w:cs="Times New Roman"/>
          <w:color w:val="auto"/>
          <w:sz w:val="36"/>
          <w:szCs w:val="20"/>
          <w:lang w:eastAsia="ja-JP"/>
        </w:rPr>
        <w:tab/>
      </w:r>
    </w:p>
    <w:p w14:paraId="1845B441">
      <w:pPr>
        <w:pStyle w:val="23"/>
      </w:pPr>
    </w:p>
    <w:p w14:paraId="4520DCE2">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Acronym:</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FS_SPE(TBD)</w:t>
      </w:r>
    </w:p>
    <w:p w14:paraId="18C69795">
      <w:pPr>
        <w:pStyle w:val="23"/>
      </w:pPr>
      <w:r>
        <w:t>{Propose an acronym. Final acronym to be confirmed at the plenary. The sign "-" is a level separator between (Feature)-(Building Block)-(Work Task). The sign "_" can be freely used. Studies have to start by "FS_". Each acronym level has to be simple and short, 7 characters max recommended}</w:t>
      </w:r>
    </w:p>
    <w:p w14:paraId="15B1DB90">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r>
        <w:rPr>
          <w:rFonts w:hint="eastAsia" w:ascii="Arial" w:hAnsi="Arial" w:eastAsia="宋体" w:cs="Times New Roman"/>
          <w:color w:val="auto"/>
          <w:sz w:val="36"/>
          <w:szCs w:val="20"/>
          <w:lang w:val="en-US" w:eastAsia="zh-CN"/>
        </w:rPr>
        <w:t>(TBD)</w:t>
      </w:r>
    </w:p>
    <w:p w14:paraId="6340F223">
      <w:pPr>
        <w:pStyle w:val="23"/>
      </w:pPr>
      <w:r>
        <w:t xml:space="preserve">{A number to be provided by MCC at the plenary} </w:t>
      </w:r>
    </w:p>
    <w:p w14:paraId="4D9605DA">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w:t>
      </w:r>
      <w:r>
        <w:rPr>
          <w:rFonts w:hint="eastAsia" w:ascii="Arial" w:hAnsi="Arial" w:eastAsia="宋体" w:cs="Times New Roman"/>
          <w:color w:val="auto"/>
          <w:sz w:val="36"/>
          <w:szCs w:val="20"/>
          <w:lang w:val="en-US" w:eastAsia="zh-CN"/>
        </w:rPr>
        <w:t>20</w:t>
      </w:r>
    </w:p>
    <w:p w14:paraId="0F6B4D92">
      <w:pPr>
        <w:pStyle w:val="23"/>
      </w:pPr>
    </w:p>
    <w:p w14:paraId="228B978F">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p w14:paraId="6042014B">
      <w:pPr>
        <w:pStyle w:val="23"/>
      </w:pPr>
      <w:r>
        <w:t>{For Normative work, identify the anticipated impacts. For a Study, identify the scope of the study}</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26"/>
            </w:pPr>
            <w:r>
              <w:t>Affects:</w:t>
            </w:r>
          </w:p>
        </w:tc>
        <w:tc>
          <w:tcPr>
            <w:tcW w:w="1275" w:type="dxa"/>
            <w:tcBorders>
              <w:left w:val="nil"/>
              <w:bottom w:val="single" w:color="auto" w:sz="12" w:space="0"/>
            </w:tcBorders>
            <w:shd w:val="clear" w:color="auto" w:fill="E0E0E0"/>
          </w:tcPr>
          <w:p w14:paraId="17341A5A">
            <w:pPr>
              <w:pStyle w:val="26"/>
            </w:pPr>
            <w:r>
              <w:t>UICC apps</w:t>
            </w:r>
          </w:p>
        </w:tc>
        <w:tc>
          <w:tcPr>
            <w:tcW w:w="1037" w:type="dxa"/>
            <w:tcBorders>
              <w:bottom w:val="single" w:color="auto" w:sz="12" w:space="0"/>
            </w:tcBorders>
            <w:shd w:val="clear" w:color="auto" w:fill="E0E0E0"/>
          </w:tcPr>
          <w:p w14:paraId="44E3AEE9">
            <w:pPr>
              <w:pStyle w:val="26"/>
            </w:pPr>
            <w:r>
              <w:t>ME</w:t>
            </w:r>
          </w:p>
        </w:tc>
        <w:tc>
          <w:tcPr>
            <w:tcW w:w="850" w:type="dxa"/>
            <w:tcBorders>
              <w:bottom w:val="single" w:color="auto" w:sz="12" w:space="0"/>
            </w:tcBorders>
            <w:shd w:val="clear" w:color="auto" w:fill="E0E0E0"/>
          </w:tcPr>
          <w:p w14:paraId="6DB9EDAB">
            <w:pPr>
              <w:pStyle w:val="26"/>
            </w:pPr>
            <w:r>
              <w:t>AN</w:t>
            </w:r>
          </w:p>
        </w:tc>
        <w:tc>
          <w:tcPr>
            <w:tcW w:w="851" w:type="dxa"/>
            <w:tcBorders>
              <w:bottom w:val="single" w:color="auto" w:sz="12" w:space="0"/>
            </w:tcBorders>
            <w:shd w:val="clear" w:color="auto" w:fill="E0E0E0"/>
          </w:tcPr>
          <w:p w14:paraId="10DFAED6">
            <w:pPr>
              <w:pStyle w:val="26"/>
            </w:pPr>
            <w:r>
              <w:t>CN</w:t>
            </w:r>
          </w:p>
        </w:tc>
        <w:tc>
          <w:tcPr>
            <w:tcW w:w="1752" w:type="dxa"/>
            <w:tcBorders>
              <w:bottom w:val="single" w:color="auto" w:sz="12" w:space="0"/>
            </w:tcBorders>
            <w:shd w:val="clear" w:color="auto" w:fill="E0E0E0"/>
          </w:tcPr>
          <w:p w14:paraId="70430901">
            <w:pPr>
              <w:pStyle w:val="26"/>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26"/>
            </w:pPr>
            <w:r>
              <w:t>Yes</w:t>
            </w:r>
          </w:p>
        </w:tc>
        <w:tc>
          <w:tcPr>
            <w:tcW w:w="1275" w:type="dxa"/>
            <w:tcBorders>
              <w:top w:val="nil"/>
              <w:left w:val="nil"/>
            </w:tcBorders>
          </w:tcPr>
          <w:p w14:paraId="69C748BE">
            <w:pPr>
              <w:pStyle w:val="27"/>
            </w:pPr>
          </w:p>
        </w:tc>
        <w:tc>
          <w:tcPr>
            <w:tcW w:w="1037" w:type="dxa"/>
            <w:tcBorders>
              <w:top w:val="nil"/>
            </w:tcBorders>
          </w:tcPr>
          <w:p w14:paraId="1D3E8F18">
            <w:pPr>
              <w:pStyle w:val="27"/>
            </w:pPr>
          </w:p>
        </w:tc>
        <w:tc>
          <w:tcPr>
            <w:tcW w:w="850" w:type="dxa"/>
            <w:tcBorders>
              <w:top w:val="nil"/>
            </w:tcBorders>
          </w:tcPr>
          <w:p w14:paraId="04045F0B">
            <w:pPr>
              <w:pStyle w:val="27"/>
            </w:pPr>
          </w:p>
        </w:tc>
        <w:tc>
          <w:tcPr>
            <w:tcW w:w="851" w:type="dxa"/>
            <w:tcBorders>
              <w:top w:val="nil"/>
            </w:tcBorders>
          </w:tcPr>
          <w:p w14:paraId="36BEDBE0">
            <w:pPr>
              <w:pStyle w:val="27"/>
              <w:rPr>
                <w:rFonts w:hint="eastAsia" w:eastAsia="宋体"/>
                <w:lang w:val="en-US" w:eastAsia="zh-CN"/>
              </w:rPr>
            </w:pPr>
            <w:r>
              <w:rPr>
                <w:rFonts w:hint="eastAsia" w:eastAsia="宋体"/>
                <w:lang w:val="en-US" w:eastAsia="zh-CN"/>
              </w:rPr>
              <w:t>X</w:t>
            </w:r>
          </w:p>
        </w:tc>
        <w:tc>
          <w:tcPr>
            <w:tcW w:w="1752" w:type="dxa"/>
            <w:tcBorders>
              <w:top w:val="nil"/>
            </w:tcBorders>
          </w:tcPr>
          <w:p w14:paraId="5305E0AA">
            <w:pPr>
              <w:pStyle w:val="27"/>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26"/>
            </w:pPr>
            <w:r>
              <w:t>No</w:t>
            </w:r>
          </w:p>
        </w:tc>
        <w:tc>
          <w:tcPr>
            <w:tcW w:w="1275" w:type="dxa"/>
            <w:tcBorders>
              <w:left w:val="nil"/>
            </w:tcBorders>
          </w:tcPr>
          <w:p w14:paraId="0B744189">
            <w:pPr>
              <w:pStyle w:val="27"/>
              <w:rPr>
                <w:rFonts w:hint="eastAsia" w:eastAsia="宋体"/>
                <w:lang w:val="en-US" w:eastAsia="zh-CN"/>
              </w:rPr>
            </w:pPr>
            <w:r>
              <w:rPr>
                <w:rFonts w:hint="eastAsia" w:eastAsia="宋体"/>
                <w:lang w:val="en-US" w:eastAsia="zh-CN"/>
              </w:rPr>
              <w:t>X</w:t>
            </w:r>
          </w:p>
        </w:tc>
        <w:tc>
          <w:tcPr>
            <w:tcW w:w="1037" w:type="dxa"/>
          </w:tcPr>
          <w:p w14:paraId="0602D5C7">
            <w:pPr>
              <w:pStyle w:val="27"/>
              <w:rPr>
                <w:rFonts w:hint="eastAsia" w:eastAsia="宋体"/>
                <w:lang w:val="en-US" w:eastAsia="zh-CN"/>
              </w:rPr>
            </w:pPr>
            <w:r>
              <w:rPr>
                <w:rFonts w:hint="eastAsia" w:eastAsia="宋体"/>
                <w:lang w:val="en-US" w:eastAsia="zh-CN"/>
              </w:rPr>
              <w:t>X</w:t>
            </w:r>
          </w:p>
        </w:tc>
        <w:tc>
          <w:tcPr>
            <w:tcW w:w="850" w:type="dxa"/>
          </w:tcPr>
          <w:p w14:paraId="35CFDED4">
            <w:pPr>
              <w:pStyle w:val="27"/>
              <w:rPr>
                <w:rFonts w:hint="eastAsia" w:eastAsia="宋体"/>
                <w:lang w:val="en-US" w:eastAsia="zh-CN"/>
              </w:rPr>
            </w:pPr>
            <w:r>
              <w:rPr>
                <w:rFonts w:hint="eastAsia" w:eastAsia="宋体"/>
                <w:lang w:val="en-US" w:eastAsia="zh-CN"/>
              </w:rPr>
              <w:t>X</w:t>
            </w:r>
          </w:p>
        </w:tc>
        <w:tc>
          <w:tcPr>
            <w:tcW w:w="851" w:type="dxa"/>
          </w:tcPr>
          <w:p w14:paraId="02A432F3">
            <w:pPr>
              <w:pStyle w:val="27"/>
            </w:pPr>
          </w:p>
        </w:tc>
        <w:tc>
          <w:tcPr>
            <w:tcW w:w="1752" w:type="dxa"/>
          </w:tcPr>
          <w:p w14:paraId="70435623">
            <w:pPr>
              <w:pStyle w:val="27"/>
            </w:pP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26"/>
            </w:pPr>
            <w:r>
              <w:t>Don't know</w:t>
            </w:r>
          </w:p>
        </w:tc>
        <w:tc>
          <w:tcPr>
            <w:tcW w:w="1275" w:type="dxa"/>
            <w:tcBorders>
              <w:left w:val="nil"/>
            </w:tcBorders>
          </w:tcPr>
          <w:p w14:paraId="4450E978">
            <w:pPr>
              <w:pStyle w:val="27"/>
            </w:pPr>
          </w:p>
        </w:tc>
        <w:tc>
          <w:tcPr>
            <w:tcW w:w="1037" w:type="dxa"/>
          </w:tcPr>
          <w:p w14:paraId="6F19776F">
            <w:pPr>
              <w:pStyle w:val="27"/>
            </w:pPr>
          </w:p>
        </w:tc>
        <w:tc>
          <w:tcPr>
            <w:tcW w:w="850" w:type="dxa"/>
          </w:tcPr>
          <w:p w14:paraId="3F07CB2B">
            <w:pPr>
              <w:pStyle w:val="27"/>
            </w:pPr>
          </w:p>
        </w:tc>
        <w:tc>
          <w:tcPr>
            <w:tcW w:w="851" w:type="dxa"/>
          </w:tcPr>
          <w:p w14:paraId="290A158D">
            <w:pPr>
              <w:pStyle w:val="27"/>
            </w:pPr>
          </w:p>
        </w:tc>
        <w:tc>
          <w:tcPr>
            <w:tcW w:w="1752" w:type="dxa"/>
          </w:tcPr>
          <w:p w14:paraId="02E98F67">
            <w:pPr>
              <w:pStyle w:val="27"/>
            </w:pPr>
          </w:p>
        </w:tc>
      </w:tr>
    </w:tbl>
    <w:p w14:paraId="0AEBFDEC"/>
    <w:p w14:paraId="1A78EC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14:paraId="2C1B72B3">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14:paraId="340C0110">
      <w:pPr>
        <w:pStyle w:val="4"/>
      </w:pPr>
      <w:r>
        <w:t>This work item is a …</w:t>
      </w:r>
    </w:p>
    <w:p w14:paraId="4B0899D6">
      <w:pPr>
        <w:pStyle w:val="23"/>
      </w:pPr>
      <w:r>
        <w:t xml:space="preserve">{Tick one or more box(es). The full structure of all existing Work Items is shown in the 3GPP Work Plan in </w:t>
      </w:r>
      <w:r>
        <w:fldChar w:fldCharType="begin"/>
      </w:r>
      <w:r>
        <w:instrText xml:space="preserve"> HYPERLINK "https://ftp.3gpp.org/Information/WORK_PLAN" </w:instrText>
      </w:r>
      <w:r>
        <w:fldChar w:fldCharType="separate"/>
      </w:r>
      <w:r>
        <w:t>https://ftp.3gpp.org/Information/WORK_PLAN</w:t>
      </w:r>
      <w:r>
        <w:fldChar w:fldCharType="end"/>
      </w:r>
      <w:r>
        <w:t xml:space="preserve">}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27"/>
              <w:rPr>
                <w:rFonts w:hint="eastAsia" w:eastAsia="宋体"/>
                <w:lang w:val="en-US" w:eastAsia="zh-CN"/>
              </w:rPr>
            </w:pPr>
            <w:r>
              <w:rPr>
                <w:rFonts w:hint="eastAsia" w:eastAsia="宋体"/>
                <w:lang w:val="en-US" w:eastAsia="zh-CN"/>
              </w:rPr>
              <w:t>X</w:t>
            </w:r>
          </w:p>
        </w:tc>
        <w:tc>
          <w:tcPr>
            <w:tcW w:w="2917" w:type="dxa"/>
            <w:shd w:val="clear" w:color="auto" w:fill="E0E0E0"/>
          </w:tcPr>
          <w:p w14:paraId="0ED22864">
            <w:pPr>
              <w:pStyle w:val="26"/>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27"/>
            </w:pPr>
          </w:p>
        </w:tc>
        <w:tc>
          <w:tcPr>
            <w:tcW w:w="2917" w:type="dxa"/>
            <w:shd w:val="clear" w:color="auto" w:fill="E0E0E0"/>
          </w:tcPr>
          <w:p w14:paraId="58AA67F6">
            <w:pPr>
              <w:pStyle w:val="26"/>
              <w:ind w:right="-99"/>
              <w:jc w:val="left"/>
              <w:rPr>
                <w:b w:val="0"/>
                <w:bCs/>
                <w:color w:val="auto"/>
              </w:rPr>
            </w:pPr>
            <w:r>
              <w:rPr>
                <w:b w:val="0"/>
                <w:bCs/>
                <w:color w:val="auto"/>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27"/>
            </w:pPr>
          </w:p>
        </w:tc>
        <w:tc>
          <w:tcPr>
            <w:tcW w:w="2917" w:type="dxa"/>
            <w:shd w:val="clear" w:color="auto" w:fill="E0E0E0"/>
          </w:tcPr>
          <w:p w14:paraId="5E19322A">
            <w:pPr>
              <w:pStyle w:val="26"/>
              <w:ind w:right="-99"/>
              <w:jc w:val="left"/>
              <w:rPr>
                <w:b w:val="0"/>
                <w:bCs/>
                <w:color w:val="auto"/>
              </w:rPr>
            </w:pPr>
            <w:r>
              <w:rPr>
                <w:b w:val="0"/>
                <w:bCs/>
                <w:color w:val="auto"/>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27"/>
            </w:pPr>
          </w:p>
        </w:tc>
        <w:tc>
          <w:tcPr>
            <w:tcW w:w="2917" w:type="dxa"/>
            <w:shd w:val="clear" w:color="auto" w:fill="E0E0E0"/>
          </w:tcPr>
          <w:p w14:paraId="4D2C82D4">
            <w:pPr>
              <w:pStyle w:val="26"/>
              <w:ind w:right="-99"/>
              <w:jc w:val="left"/>
              <w:rPr>
                <w:b w:val="0"/>
                <w:bCs/>
                <w:color w:val="auto"/>
              </w:rPr>
            </w:pPr>
            <w:r>
              <w:rPr>
                <w:b w:val="0"/>
                <w:bCs/>
                <w:color w:val="auto"/>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27"/>
            </w:pPr>
          </w:p>
        </w:tc>
        <w:tc>
          <w:tcPr>
            <w:tcW w:w="2917" w:type="dxa"/>
            <w:shd w:val="clear" w:color="auto" w:fill="E0E0E0"/>
          </w:tcPr>
          <w:p w14:paraId="4B700A55">
            <w:pPr>
              <w:pStyle w:val="26"/>
              <w:ind w:right="-99"/>
              <w:jc w:val="left"/>
              <w:rPr>
                <w:b w:val="0"/>
                <w:bCs/>
                <w:color w:val="auto"/>
              </w:rPr>
            </w:pPr>
            <w:r>
              <w:rPr>
                <w:b w:val="0"/>
                <w:bCs/>
                <w:color w:val="auto"/>
                <w:sz w:val="20"/>
              </w:rPr>
              <w:t>Normative – Other*</w:t>
            </w:r>
          </w:p>
        </w:tc>
      </w:tr>
    </w:tbl>
    <w:p w14:paraId="29596DC6">
      <w:pPr>
        <w:ind w:right="-99"/>
        <w:rPr>
          <w:b/>
        </w:rPr>
      </w:pPr>
      <w:r>
        <w:rPr>
          <w:b/>
        </w:rPr>
        <w:t>* Other = e.g. testing</w:t>
      </w:r>
    </w:p>
    <w:p w14:paraId="4028CBD7">
      <w:pPr>
        <w:ind w:right="-99"/>
        <w:rPr>
          <w:b/>
        </w:rPr>
      </w:pPr>
    </w:p>
    <w:p w14:paraId="7820CC98">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14:paraId="223A3492">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26"/>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26"/>
              <w:ind w:right="-99"/>
              <w:jc w:val="left"/>
            </w:pPr>
            <w:r>
              <w:t>Acronym</w:t>
            </w:r>
          </w:p>
        </w:tc>
        <w:tc>
          <w:tcPr>
            <w:tcW w:w="1101" w:type="dxa"/>
            <w:shd w:val="clear" w:color="auto" w:fill="E0E0E0"/>
          </w:tcPr>
          <w:p w14:paraId="0E8ED1B9">
            <w:pPr>
              <w:pStyle w:val="26"/>
              <w:ind w:right="-99"/>
              <w:jc w:val="left"/>
            </w:pPr>
            <w:r>
              <w:t>Working Group</w:t>
            </w:r>
          </w:p>
        </w:tc>
        <w:tc>
          <w:tcPr>
            <w:tcW w:w="1101" w:type="dxa"/>
            <w:shd w:val="clear" w:color="auto" w:fill="E0E0E0"/>
          </w:tcPr>
          <w:p w14:paraId="18104C59">
            <w:pPr>
              <w:pStyle w:val="26"/>
              <w:ind w:right="-99"/>
              <w:jc w:val="left"/>
            </w:pPr>
            <w:r>
              <w:t>Unique ID</w:t>
            </w:r>
          </w:p>
        </w:tc>
        <w:tc>
          <w:tcPr>
            <w:tcW w:w="6010" w:type="dxa"/>
            <w:shd w:val="clear" w:color="auto" w:fill="E0E0E0"/>
          </w:tcPr>
          <w:p w14:paraId="444DB744">
            <w:pPr>
              <w:pStyle w:val="26"/>
              <w:ind w:right="-99"/>
              <w:jc w:val="left"/>
            </w:pPr>
            <w:r>
              <w:t>Title (as in 3GPP Work Plan)</w:t>
            </w:r>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25"/>
              <w:rPr>
                <w:rFonts w:hint="default" w:eastAsia="宋体"/>
                <w:lang w:val="en-US" w:eastAsia="zh-CN"/>
              </w:rPr>
            </w:pPr>
            <w:r>
              <w:rPr>
                <w:rFonts w:hint="eastAsia" w:eastAsia="宋体"/>
                <w:lang w:val="en-US" w:eastAsia="zh-CN"/>
              </w:rPr>
              <w:t>N/A</w:t>
            </w:r>
          </w:p>
        </w:tc>
        <w:tc>
          <w:tcPr>
            <w:tcW w:w="1101" w:type="dxa"/>
          </w:tcPr>
          <w:p w14:paraId="334D300A">
            <w:r>
              <w:rPr>
                <w:rFonts w:hint="eastAsia" w:eastAsia="宋体"/>
                <w:lang w:val="en-US" w:eastAsia="zh-CN"/>
              </w:rPr>
              <w:t>N/A</w:t>
            </w:r>
          </w:p>
        </w:tc>
        <w:tc>
          <w:tcPr>
            <w:tcW w:w="1101" w:type="dxa"/>
          </w:tcPr>
          <w:p w14:paraId="3338BA6A">
            <w:r>
              <w:rPr>
                <w:rFonts w:hint="eastAsia" w:eastAsia="宋体"/>
                <w:lang w:val="en-US" w:eastAsia="zh-CN"/>
              </w:rPr>
              <w:t>N/A</w:t>
            </w:r>
          </w:p>
        </w:tc>
        <w:tc>
          <w:tcPr>
            <w:tcW w:w="6010" w:type="dxa"/>
          </w:tcPr>
          <w:p w14:paraId="225432A0">
            <w:r>
              <w:rPr>
                <w:rFonts w:hint="eastAsia" w:eastAsia="宋体"/>
                <w:lang w:val="en-US" w:eastAsia="zh-CN"/>
              </w:rPr>
              <w:t>N/A</w:t>
            </w:r>
          </w:p>
        </w:tc>
      </w:tr>
    </w:tbl>
    <w:p w14:paraId="577FBA35"/>
    <w:p w14:paraId="5A176050">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26"/>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26"/>
            </w:pPr>
            <w:r>
              <w:t>Unique ID</w:t>
            </w:r>
          </w:p>
        </w:tc>
        <w:tc>
          <w:tcPr>
            <w:tcW w:w="3326" w:type="dxa"/>
            <w:shd w:val="clear" w:color="auto" w:fill="E0E0E0"/>
          </w:tcPr>
          <w:p w14:paraId="74D80133">
            <w:pPr>
              <w:pStyle w:val="26"/>
            </w:pPr>
            <w:r>
              <w:t>Title</w:t>
            </w:r>
          </w:p>
        </w:tc>
        <w:tc>
          <w:tcPr>
            <w:tcW w:w="5099" w:type="dxa"/>
            <w:shd w:val="clear" w:color="auto" w:fill="E0E0E0"/>
          </w:tcPr>
          <w:p w14:paraId="1DB2E63C">
            <w:pPr>
              <w:pStyle w:val="26"/>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r>
              <w:rPr>
                <w:rFonts w:hint="eastAsia" w:eastAsia="宋体"/>
                <w:lang w:val="en-US" w:eastAsia="zh-CN"/>
              </w:rPr>
              <w:t>N/A</w:t>
            </w:r>
          </w:p>
        </w:tc>
        <w:tc>
          <w:tcPr>
            <w:tcW w:w="3326" w:type="dxa"/>
          </w:tcPr>
          <w:p w14:paraId="3AC061FD">
            <w:r>
              <w:rPr>
                <w:rFonts w:hint="eastAsia" w:eastAsia="宋体"/>
                <w:lang w:val="en-US" w:eastAsia="zh-CN"/>
              </w:rPr>
              <w:t>N/A</w:t>
            </w:r>
          </w:p>
        </w:tc>
        <w:tc>
          <w:tcPr>
            <w:tcW w:w="5099" w:type="dxa"/>
          </w:tcPr>
          <w:p w14:paraId="017BF4B1">
            <w:r>
              <w:rPr>
                <w:rFonts w:hint="eastAsia" w:eastAsia="宋体"/>
                <w:lang w:val="en-US" w:eastAsia="zh-CN"/>
              </w:rPr>
              <w:t>N/A</w:t>
            </w:r>
          </w:p>
        </w:tc>
      </w:tr>
    </w:tbl>
    <w:p w14:paraId="01B64B3B">
      <w:pPr>
        <w:pStyle w:val="28"/>
      </w:pPr>
    </w:p>
    <w:p w14:paraId="271E2800">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14:paraId="2BC1B1AB">
      <w:pPr>
        <w:numPr>
          <w:ilvl w:val="0"/>
          <w:numId w:val="0"/>
        </w:numPr>
        <w:rPr>
          <w:rFonts w:hint="eastAsia"/>
          <w:i w:val="0"/>
          <w:iCs/>
          <w:lang w:val="en-US" w:eastAsia="zh-CN"/>
        </w:rPr>
      </w:pPr>
      <w:r>
        <w:rPr>
          <w:rFonts w:hint="eastAsia"/>
          <w:i w:val="0"/>
          <w:iCs/>
          <w:lang w:val="en-US" w:eastAsia="zh-CN"/>
        </w:rPr>
        <w:t>Current network security are mainly focus on how to protect connections between NFs, but lack of consideration on how to provision network security policies to execute such security procedures. It is important to utilize such ability to network operator to improve the security protection on networks.</w:t>
      </w:r>
    </w:p>
    <w:p w14:paraId="370E1886">
      <w:pPr>
        <w:numPr>
          <w:ilvl w:val="0"/>
          <w:numId w:val="0"/>
        </w:numPr>
        <w:rPr>
          <w:rFonts w:hint="eastAsia"/>
          <w:i w:val="0"/>
          <w:iCs/>
          <w:lang w:val="en-US" w:eastAsia="zh-CN"/>
        </w:rPr>
      </w:pPr>
      <w:r>
        <w:rPr>
          <w:rFonts w:hint="eastAsia"/>
          <w:i w:val="0"/>
          <w:iCs/>
          <w:lang w:val="en-US" w:eastAsia="zh-CN"/>
        </w:rPr>
        <w:t>There are some cases needs to be considered to enhance the security management service about security policy provisioning.</w:t>
      </w:r>
    </w:p>
    <w:p w14:paraId="27194B03">
      <w:pPr>
        <w:numPr>
          <w:ilvl w:val="0"/>
          <w:numId w:val="0"/>
        </w:numPr>
        <w:rPr>
          <w:rFonts w:hint="default"/>
          <w:i/>
          <w:lang w:val="en-US" w:eastAsia="zh-CN"/>
        </w:rPr>
      </w:pPr>
    </w:p>
    <w:p w14:paraId="64142E5D">
      <w:pPr>
        <w:numPr>
          <w:ilvl w:val="0"/>
          <w:numId w:val="1"/>
        </w:numPr>
        <w:rPr>
          <w:rFonts w:hint="eastAsia"/>
          <w:i/>
          <w:lang w:val="en-US" w:eastAsia="zh-CN"/>
        </w:rPr>
      </w:pPr>
      <w:r>
        <w:rPr>
          <w:rFonts w:hint="eastAsia"/>
          <w:i/>
          <w:lang w:val="en-US" w:eastAsia="zh-CN"/>
        </w:rPr>
        <w:t>On-demand Security Enabler to Protect 3GPP NFs</w:t>
      </w:r>
    </w:p>
    <w:p w14:paraId="36A6DF93">
      <w:pPr>
        <w:numPr>
          <w:ilvl w:val="0"/>
          <w:numId w:val="0"/>
        </w:numPr>
        <w:rPr>
          <w:rFonts w:hint="eastAsia"/>
          <w:i w:val="0"/>
          <w:iCs/>
          <w:lang w:val="en-US" w:eastAsia="zh-CN"/>
        </w:rPr>
      </w:pPr>
      <w:r>
        <w:rPr>
          <w:rFonts w:hint="eastAsia"/>
          <w:i w:val="0"/>
          <w:iCs/>
          <w:lang w:val="en-US" w:eastAsia="zh-CN"/>
        </w:rPr>
        <w:t>ToB service is crucial for mobile operators. Some 3GPP NFs in 5G have been deployed in the ToB dedicated network, e.g. PLMN NPN.</w:t>
      </w:r>
    </w:p>
    <w:p w14:paraId="3DD693E9">
      <w:pPr>
        <w:numPr>
          <w:ilvl w:val="0"/>
          <w:numId w:val="0"/>
        </w:numPr>
        <w:rPr>
          <w:rFonts w:hint="default"/>
          <w:i w:val="0"/>
          <w:iCs/>
          <w:lang w:val="en-US" w:eastAsia="zh-CN"/>
        </w:rPr>
      </w:pPr>
      <w:r>
        <w:rPr>
          <w:rFonts w:hint="eastAsia"/>
          <w:i w:val="0"/>
          <w:iCs/>
          <w:lang w:val="en-US" w:eastAsia="zh-CN"/>
        </w:rPr>
        <w:t xml:space="preserve">Due to the differentiated security requirements of enterprises across various industries, the operators need to be able to deploy the security capabilities on-demand to protect 3GPP NFs. Some of them are related to NFs, e.g. the interfaces, OS. </w:t>
      </w:r>
    </w:p>
    <w:p w14:paraId="280CDF86">
      <w:pPr>
        <w:numPr>
          <w:ilvl w:val="0"/>
          <w:numId w:val="1"/>
        </w:numPr>
        <w:rPr>
          <w:rFonts w:hint="default"/>
          <w:i/>
          <w:lang w:val="en-US" w:eastAsia="zh-CN"/>
        </w:rPr>
      </w:pPr>
      <w:r>
        <w:rPr>
          <w:rFonts w:hint="eastAsia"/>
          <w:i/>
          <w:lang w:val="en-US" w:eastAsia="zh-CN"/>
        </w:rPr>
        <w:t>Security Configuration Update</w:t>
      </w:r>
    </w:p>
    <w:p w14:paraId="0B0DEC6F">
      <w:pPr>
        <w:numPr>
          <w:ilvl w:val="0"/>
          <w:numId w:val="0"/>
        </w:numPr>
        <w:rPr>
          <w:rFonts w:hint="default"/>
          <w:i w:val="0"/>
          <w:iCs/>
          <w:lang w:val="en-US" w:eastAsia="zh-CN"/>
        </w:rPr>
      </w:pPr>
      <w:r>
        <w:rPr>
          <w:rFonts w:hint="eastAsia"/>
          <w:i w:val="0"/>
          <w:iCs/>
          <w:lang w:val="en-US" w:eastAsia="zh-CN"/>
        </w:rPr>
        <w:t>When some security attacks are detected, e.g. from compromised NF(s), the network needs to update the security configuration on other NFs to reject communication with such compromised NF in order to mitigate attacks. And it would be also necessary to update back when such compromised NF recovered.</w:t>
      </w:r>
    </w:p>
    <w:p w14:paraId="64A8A662">
      <w:pPr>
        <w:numPr>
          <w:ilvl w:val="0"/>
          <w:numId w:val="1"/>
        </w:numPr>
        <w:rPr>
          <w:rFonts w:hint="default"/>
          <w:i/>
          <w:lang w:val="en-US" w:eastAsia="zh-CN"/>
        </w:rPr>
      </w:pPr>
      <w:r>
        <w:rPr>
          <w:rFonts w:hint="default"/>
          <w:i/>
          <w:lang w:val="en-US" w:eastAsia="zh-CN"/>
        </w:rPr>
        <w:t xml:space="preserve">Security Incident </w:t>
      </w:r>
      <w:r>
        <w:rPr>
          <w:rFonts w:hint="eastAsia"/>
          <w:i/>
          <w:lang w:val="en-US" w:eastAsia="zh-CN"/>
        </w:rPr>
        <w:t>Response</w:t>
      </w:r>
      <w:r>
        <w:rPr>
          <w:rFonts w:hint="default"/>
          <w:i/>
          <w:lang w:val="en-US" w:eastAsia="zh-CN"/>
        </w:rPr>
        <w:t xml:space="preserve"> Synchronization</w:t>
      </w:r>
    </w:p>
    <w:p w14:paraId="34C2E5A6">
      <w:pPr>
        <w:numPr>
          <w:ilvl w:val="0"/>
          <w:numId w:val="0"/>
        </w:numPr>
        <w:rPr>
          <w:rFonts w:hint="default"/>
          <w:b w:val="0"/>
          <w:bCs w:val="0"/>
          <w:i w:val="0"/>
          <w:iCs/>
          <w:lang w:val="en-US" w:eastAsia="zh-CN"/>
        </w:rPr>
      </w:pPr>
      <w:r>
        <w:rPr>
          <w:rFonts w:hint="eastAsia"/>
          <w:b w:val="0"/>
          <w:bCs w:val="0"/>
          <w:i w:val="0"/>
          <w:iCs/>
          <w:lang w:val="en-US" w:eastAsia="zh-CN"/>
        </w:rPr>
        <w:t>T</w:t>
      </w:r>
      <w:r>
        <w:rPr>
          <w:rFonts w:hint="default"/>
          <w:b w:val="0"/>
          <w:bCs w:val="0"/>
          <w:i w:val="0"/>
          <w:iCs/>
          <w:lang w:val="en-US" w:eastAsia="zh-CN"/>
        </w:rPr>
        <w:t>he security operation of ToB network and ToC mobile</w:t>
      </w:r>
      <w:r>
        <w:rPr>
          <w:rFonts w:hint="eastAsia"/>
          <w:b w:val="0"/>
          <w:bCs w:val="0"/>
          <w:i w:val="0"/>
          <w:iCs/>
          <w:lang w:val="en-US" w:eastAsia="zh-CN"/>
        </w:rPr>
        <w:t xml:space="preserve"> network in one</w:t>
      </w:r>
      <w:r>
        <w:rPr>
          <w:rFonts w:hint="default"/>
          <w:b w:val="0"/>
          <w:bCs w:val="0"/>
          <w:i w:val="0"/>
          <w:iCs/>
          <w:lang w:val="en-US" w:eastAsia="zh-CN"/>
        </w:rPr>
        <w:t xml:space="preserve"> operator are largely independent from each other. </w:t>
      </w:r>
      <w:r>
        <w:rPr>
          <w:rFonts w:hint="eastAsia"/>
          <w:b w:val="0"/>
          <w:bCs w:val="0"/>
          <w:i w:val="0"/>
          <w:iCs/>
          <w:lang w:val="en-US" w:eastAsia="zh-CN"/>
        </w:rPr>
        <w:t xml:space="preserve">However, the connectivity </w:t>
      </w:r>
      <w:r>
        <w:rPr>
          <w:rFonts w:hint="default"/>
          <w:b w:val="0"/>
          <w:bCs w:val="0"/>
          <w:i w:val="0"/>
          <w:iCs/>
          <w:lang w:val="en-US" w:eastAsia="zh-CN"/>
        </w:rPr>
        <w:t xml:space="preserve">between ToB and ToC networks </w:t>
      </w:r>
      <w:r>
        <w:rPr>
          <w:rFonts w:hint="eastAsia"/>
          <w:b w:val="0"/>
          <w:bCs w:val="0"/>
          <w:i w:val="0"/>
          <w:iCs/>
          <w:lang w:val="en-US" w:eastAsia="zh-CN"/>
        </w:rPr>
        <w:t xml:space="preserve">is still possible. It </w:t>
      </w:r>
      <w:r>
        <w:rPr>
          <w:rFonts w:hint="default"/>
          <w:b w:val="0"/>
          <w:bCs w:val="0"/>
          <w:i w:val="0"/>
          <w:iCs/>
          <w:lang w:val="en-US" w:eastAsia="zh-CN"/>
        </w:rPr>
        <w:t>provides a potential path for the attacker to implement lateral movement between them.</w:t>
      </w:r>
    </w:p>
    <w:p w14:paraId="52D5C759">
      <w:pPr>
        <w:numPr>
          <w:ilvl w:val="0"/>
          <w:numId w:val="0"/>
        </w:numPr>
        <w:rPr>
          <w:rFonts w:hint="default"/>
          <w:b w:val="0"/>
          <w:bCs w:val="0"/>
          <w:i w:val="0"/>
          <w:iCs/>
          <w:lang w:val="en-US" w:eastAsia="zh-CN"/>
        </w:rPr>
      </w:pPr>
      <w:r>
        <w:rPr>
          <w:rFonts w:hint="default"/>
          <w:b w:val="0"/>
          <w:bCs w:val="0"/>
          <w:i w:val="0"/>
          <w:iCs/>
          <w:lang w:val="en-US" w:eastAsia="zh-CN"/>
        </w:rPr>
        <w:t>When some suspicious attacks (OS configuration changes, abnormal processes, etc.) are detected</w:t>
      </w:r>
      <w:r>
        <w:rPr>
          <w:rFonts w:hint="eastAsia"/>
          <w:b w:val="0"/>
          <w:bCs w:val="0"/>
          <w:i w:val="0"/>
          <w:iCs/>
          <w:lang w:val="en-US" w:eastAsia="zh-CN"/>
        </w:rPr>
        <w:t xml:space="preserve"> in one sub-network(ToB or ToC)</w:t>
      </w:r>
      <w:r>
        <w:rPr>
          <w:rFonts w:hint="default"/>
          <w:b w:val="0"/>
          <w:bCs w:val="0"/>
          <w:i w:val="0"/>
          <w:iCs/>
          <w:lang w:val="en-US" w:eastAsia="zh-CN"/>
        </w:rPr>
        <w:t xml:space="preserve">, </w:t>
      </w:r>
      <w:r>
        <w:rPr>
          <w:rFonts w:hint="eastAsia"/>
          <w:b w:val="0"/>
          <w:bCs w:val="0"/>
          <w:i w:val="0"/>
          <w:iCs/>
          <w:lang w:val="en-US" w:eastAsia="zh-CN"/>
        </w:rPr>
        <w:t xml:space="preserve">which result a security response execute in the network, such response also needs to </w:t>
      </w:r>
      <w:r>
        <w:rPr>
          <w:rFonts w:hint="default"/>
          <w:b w:val="0"/>
          <w:bCs w:val="0"/>
          <w:i w:val="0"/>
          <w:iCs/>
          <w:lang w:val="en-US" w:eastAsia="zh-CN"/>
        </w:rPr>
        <w:t xml:space="preserve">be synchronized </w:t>
      </w:r>
      <w:r>
        <w:rPr>
          <w:rFonts w:hint="eastAsia"/>
          <w:b w:val="0"/>
          <w:bCs w:val="0"/>
          <w:i w:val="0"/>
          <w:iCs/>
          <w:lang w:val="en-US" w:eastAsia="zh-CN"/>
        </w:rPr>
        <w:t xml:space="preserve">to other sub-networks </w:t>
      </w:r>
      <w:r>
        <w:rPr>
          <w:rFonts w:hint="default"/>
          <w:b w:val="0"/>
          <w:bCs w:val="0"/>
          <w:i w:val="0"/>
          <w:iCs/>
          <w:lang w:val="en-US" w:eastAsia="zh-CN"/>
        </w:rPr>
        <w:t xml:space="preserve">via the security collaboration mechanism, so that the mobile operators can </w:t>
      </w:r>
      <w:r>
        <w:rPr>
          <w:rFonts w:hint="eastAsia"/>
          <w:b w:val="0"/>
          <w:bCs w:val="0"/>
          <w:i w:val="0"/>
          <w:iCs/>
          <w:lang w:val="en-US" w:eastAsia="zh-CN"/>
        </w:rPr>
        <w:t>prevent potential attacks. For example, if there is an suspicious attack happened in a sub-network, it may needs to block NFs in such sub-network to visit NFs in other sub-networks temporarily.</w:t>
      </w:r>
    </w:p>
    <w:p w14:paraId="70C7EC2A">
      <w:pPr>
        <w:numPr>
          <w:ilvl w:val="0"/>
          <w:numId w:val="1"/>
        </w:numPr>
        <w:rPr>
          <w:rFonts w:hint="default"/>
          <w:i/>
          <w:lang w:val="en-US" w:eastAsia="zh-CN"/>
        </w:rPr>
      </w:pPr>
      <w:r>
        <w:rPr>
          <w:rFonts w:hint="default"/>
          <w:i/>
          <w:lang w:val="en-US" w:eastAsia="zh-CN"/>
        </w:rPr>
        <w:t xml:space="preserve">Security Policy Consistency </w:t>
      </w:r>
      <w:r>
        <w:rPr>
          <w:rFonts w:hint="eastAsia"/>
          <w:i/>
          <w:lang w:val="en-US" w:eastAsia="zh-CN"/>
        </w:rPr>
        <w:t>Co-operation</w:t>
      </w:r>
    </w:p>
    <w:p w14:paraId="5A75399B">
      <w:pPr>
        <w:ind w:firstLine="0" w:firstLineChars="0"/>
        <w:jc w:val="both"/>
        <w:rPr>
          <w:rFonts w:hint="eastAsia" w:ascii="Times New Roman" w:hAnsi="Times New Roman" w:eastAsia="等线" w:cs="Times New Roman"/>
          <w:highlight w:val="none"/>
          <w:lang w:val="en-US" w:eastAsia="zh-CN"/>
        </w:rPr>
      </w:pPr>
      <w:r>
        <w:rPr>
          <w:rFonts w:hint="eastAsia" w:ascii="Times New Roman" w:hAnsi="Times New Roman" w:eastAsia="等线" w:cs="Times New Roman"/>
          <w:highlight w:val="none"/>
          <w:lang w:val="en-US" w:eastAsia="zh-CN"/>
        </w:rPr>
        <w:t xml:space="preserve">Some security attacks (e.g., GTP Door) target the 3GPP NFs. Mitigating the attacks requires cooperation and coordination among 3GPP NFs on </w:t>
      </w:r>
      <w:r>
        <w:rPr>
          <w:rFonts w:hint="eastAsia" w:eastAsia="等线" w:cs="Times New Roman"/>
          <w:highlight w:val="none"/>
          <w:lang w:val="en-US" w:eastAsia="zh-CN"/>
        </w:rPr>
        <w:t>multi-</w:t>
      </w:r>
      <w:r>
        <w:rPr>
          <w:rFonts w:hint="eastAsia" w:ascii="Times New Roman" w:hAnsi="Times New Roman" w:eastAsia="等线" w:cs="Times New Roman"/>
          <w:highlight w:val="none"/>
          <w:lang w:val="en-US" w:eastAsia="zh-CN"/>
        </w:rPr>
        <w:t>stakeholder cloud.</w:t>
      </w:r>
    </w:p>
    <w:p w14:paraId="45768AF1">
      <w:pPr>
        <w:ind w:firstLine="0" w:firstLineChars="0"/>
        <w:jc w:val="both"/>
        <w:rPr>
          <w:rFonts w:hint="eastAsia" w:ascii="Times New Roman" w:hAnsi="Times New Roman" w:eastAsia="等线" w:cs="Times New Roman"/>
          <w:highlight w:val="none"/>
          <w:lang w:val="en-US" w:eastAsia="zh-CN"/>
        </w:rPr>
      </w:pPr>
      <w:r>
        <w:rPr>
          <w:rFonts w:hint="eastAsia" w:ascii="Times New Roman" w:hAnsi="Times New Roman" w:eastAsia="等线" w:cs="Times New Roman"/>
          <w:highlight w:val="none"/>
          <w:lang w:val="en-US" w:eastAsia="zh-CN"/>
        </w:rPr>
        <w:t>The general security response policy can be decomposed into multiple different sub-policies. The NFs on multiple clouds need to be coordinated to avoid a lack of security response policy or insufficient, isolated security policies, as these can hinder the overall effectiveness of attack protection.</w:t>
      </w:r>
    </w:p>
    <w:p w14:paraId="4001C7BD">
      <w:pPr>
        <w:ind w:firstLine="0" w:firstLineChars="0"/>
        <w:jc w:val="both"/>
        <w:rPr>
          <w:rFonts w:hint="eastAsia" w:ascii="Times New Roman" w:hAnsi="Times New Roman" w:eastAsia="等线" w:cs="Times New Roman"/>
          <w:highlight w:val="none"/>
          <w:lang w:val="en-US" w:eastAsia="zh-CN"/>
        </w:rPr>
      </w:pPr>
    </w:p>
    <w:p w14:paraId="1987B52D">
      <w:pPr>
        <w:ind w:firstLine="0" w:firstLineChars="0"/>
        <w:jc w:val="both"/>
        <w:rPr>
          <w:rFonts w:hint="default" w:ascii="Times New Roman" w:hAnsi="Times New Roman" w:eastAsia="等线" w:cs="Times New Roman"/>
          <w:highlight w:val="none"/>
          <w:lang w:val="en-US" w:eastAsia="zh-CN"/>
        </w:rPr>
      </w:pPr>
      <w:r>
        <w:rPr>
          <w:rFonts w:hint="eastAsia" w:ascii="Times New Roman" w:hAnsi="Times New Roman" w:eastAsia="等线" w:cs="Times New Roman"/>
          <w:highlight w:val="none"/>
          <w:lang w:val="en-US" w:eastAsia="zh-CN"/>
        </w:rPr>
        <w:t>So based on above cases, it is necessary to study the security requirements about security policy execution and how to execute. Furthermore, it also needs to study which kind of security policy should be impact.</w:t>
      </w:r>
    </w:p>
    <w:p w14:paraId="465FE55B"/>
    <w:p w14:paraId="4A2BDC03">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14:paraId="5E9E9E68">
      <w:pPr>
        <w:rPr>
          <w:rFonts w:hint="eastAsia"/>
          <w:i w:val="0"/>
          <w:iCs/>
          <w:lang w:val="en-US" w:eastAsia="zh-CN"/>
        </w:rPr>
      </w:pPr>
      <w:bookmarkStart w:id="0" w:name="_GoBack"/>
      <w:bookmarkEnd w:id="0"/>
      <w:r>
        <w:rPr>
          <w:rFonts w:hint="eastAsia"/>
          <w:i w:val="0"/>
          <w:iCs/>
          <w:lang w:val="en-US" w:eastAsia="zh-CN"/>
        </w:rPr>
        <w:t>It is proposes to study:</w:t>
      </w:r>
    </w:p>
    <w:p w14:paraId="286B2733">
      <w:pPr>
        <w:rPr>
          <w:rFonts w:hint="default"/>
          <w:i w:val="0"/>
          <w:iCs/>
          <w:lang w:val="en-US" w:eastAsia="zh-CN"/>
        </w:rPr>
      </w:pPr>
      <w:r>
        <w:rPr>
          <w:rFonts w:hint="eastAsia"/>
          <w:i w:val="0"/>
          <w:iCs/>
          <w:lang w:val="en-US" w:eastAsia="zh-CN"/>
        </w:rPr>
        <w:t>WT1:</w:t>
      </w:r>
    </w:p>
    <w:p w14:paraId="078D303E">
      <w:pPr>
        <w:numPr>
          <w:ilvl w:val="0"/>
          <w:numId w:val="2"/>
        </w:numPr>
        <w:ind w:left="420" w:leftChars="0" w:hanging="420" w:firstLineChars="0"/>
        <w:rPr>
          <w:rFonts w:hint="default" w:eastAsia="宋体"/>
          <w:i w:val="0"/>
          <w:iCs/>
          <w:lang w:val="en-US" w:eastAsia="zh-CN"/>
        </w:rPr>
      </w:pPr>
      <w:r>
        <w:rPr>
          <w:rFonts w:hint="eastAsia"/>
          <w:i w:val="0"/>
          <w:iCs/>
          <w:lang w:val="en-US" w:eastAsia="zh-CN"/>
        </w:rPr>
        <w:t>the use cases about security policy provisioning management</w:t>
      </w:r>
    </w:p>
    <w:p w14:paraId="1397E4FF">
      <w:pPr>
        <w:numPr>
          <w:ilvl w:val="0"/>
          <w:numId w:val="2"/>
        </w:numPr>
        <w:ind w:left="420" w:leftChars="0" w:hanging="420" w:firstLineChars="0"/>
        <w:rPr>
          <w:rFonts w:hint="default" w:eastAsia="宋体"/>
          <w:i w:val="0"/>
          <w:iCs/>
          <w:lang w:val="en-US" w:eastAsia="zh-CN"/>
        </w:rPr>
      </w:pPr>
      <w:r>
        <w:rPr>
          <w:rFonts w:hint="eastAsia"/>
          <w:i w:val="0"/>
          <w:iCs/>
          <w:lang w:val="en-US" w:eastAsia="zh-CN"/>
        </w:rPr>
        <w:t>whether additional security requirements about security policy provisioning management is needed</w:t>
      </w:r>
    </w:p>
    <w:p w14:paraId="3AACDC6E">
      <w:pPr>
        <w:numPr>
          <w:ilvl w:val="1"/>
          <w:numId w:val="2"/>
        </w:numPr>
        <w:ind w:left="840" w:leftChars="0" w:hanging="420" w:firstLineChars="0"/>
        <w:rPr>
          <w:rFonts w:hint="default" w:eastAsia="宋体"/>
          <w:i w:val="0"/>
          <w:iCs/>
          <w:lang w:val="en-US" w:eastAsia="zh-CN"/>
        </w:rPr>
      </w:pPr>
      <w:r>
        <w:rPr>
          <w:rFonts w:hint="eastAsia" w:eastAsia="宋体"/>
          <w:i w:val="0"/>
          <w:iCs/>
          <w:lang w:val="en-US" w:eastAsia="zh-CN"/>
        </w:rPr>
        <w:t>if yes, how security requirements are defined.</w:t>
      </w:r>
    </w:p>
    <w:p w14:paraId="4C01CD06">
      <w:pPr>
        <w:numPr>
          <w:ilvl w:val="0"/>
          <w:numId w:val="0"/>
        </w:numPr>
        <w:ind w:leftChars="0"/>
        <w:rPr>
          <w:rFonts w:hint="default" w:eastAsia="宋体"/>
          <w:i w:val="0"/>
          <w:iCs/>
          <w:lang w:val="en-US" w:eastAsia="zh-CN"/>
        </w:rPr>
      </w:pPr>
      <w:r>
        <w:rPr>
          <w:rFonts w:hint="eastAsia"/>
          <w:i w:val="0"/>
          <w:iCs/>
          <w:lang w:val="en-US" w:eastAsia="zh-CN"/>
        </w:rPr>
        <w:t>WT2:</w:t>
      </w:r>
    </w:p>
    <w:p w14:paraId="394B54CC">
      <w:pPr>
        <w:numPr>
          <w:ilvl w:val="0"/>
          <w:numId w:val="2"/>
        </w:numPr>
        <w:ind w:left="420" w:leftChars="0" w:hanging="420" w:firstLineChars="0"/>
        <w:rPr>
          <w:rFonts w:hint="default" w:eastAsia="宋体"/>
          <w:i w:val="0"/>
          <w:iCs/>
          <w:lang w:val="en-US" w:eastAsia="zh-CN"/>
        </w:rPr>
      </w:pPr>
      <w:r>
        <w:rPr>
          <w:rFonts w:hint="eastAsia"/>
          <w:i w:val="0"/>
          <w:iCs/>
          <w:lang w:val="en-US" w:eastAsia="zh-CN"/>
        </w:rPr>
        <w:t xml:space="preserve"> which kind of security policy should be impact.</w:t>
      </w:r>
    </w:p>
    <w:p w14:paraId="29BD78F1">
      <w:pPr>
        <w:numPr>
          <w:ilvl w:val="0"/>
          <w:numId w:val="0"/>
        </w:numPr>
        <w:ind w:leftChars="0"/>
        <w:rPr>
          <w:rFonts w:hint="default" w:eastAsia="宋体"/>
          <w:i w:val="0"/>
          <w:iCs/>
          <w:lang w:val="en-US" w:eastAsia="zh-CN"/>
        </w:rPr>
      </w:pPr>
    </w:p>
    <w:p w14:paraId="314B5D1D">
      <w:pPr>
        <w:pStyle w:val="3"/>
      </w:pPr>
      <w:r>
        <w:t>TU estimates and dependencies</w:t>
      </w:r>
    </w:p>
    <w:p w14:paraId="6B7978AC"/>
    <w:tbl>
      <w:tblPr>
        <w:tblStyle w:val="14"/>
        <w:tblW w:w="6752" w:type="dxa"/>
        <w:tblInd w:w="-117" w:type="dxa"/>
        <w:tblLayout w:type="fixed"/>
        <w:tblCellMar>
          <w:top w:w="0" w:type="dxa"/>
          <w:left w:w="108" w:type="dxa"/>
          <w:bottom w:w="0" w:type="dxa"/>
          <w:right w:w="108" w:type="dxa"/>
        </w:tblCellMar>
      </w:tblPr>
      <w:tblGrid>
        <w:gridCol w:w="1596"/>
        <w:gridCol w:w="1570"/>
        <w:gridCol w:w="1480"/>
        <w:gridCol w:w="2105"/>
      </w:tblGrid>
      <w:tr w14:paraId="3243E71A">
        <w:tblPrEx>
          <w:tblCellMar>
            <w:top w:w="0" w:type="dxa"/>
            <w:left w:w="108" w:type="dxa"/>
            <w:bottom w:w="0" w:type="dxa"/>
            <w:right w:w="108" w:type="dxa"/>
          </w:tblCellMar>
        </w:tblPrEx>
        <w:tc>
          <w:tcPr>
            <w:tcW w:w="1596" w:type="dxa"/>
            <w:tcBorders>
              <w:top w:val="single" w:color="000000" w:sz="4" w:space="0"/>
              <w:left w:val="single" w:color="000000" w:sz="4" w:space="0"/>
              <w:bottom w:val="single" w:color="000000" w:sz="4" w:space="0"/>
              <w:right w:val="single" w:color="000000" w:sz="4" w:space="0"/>
            </w:tcBorders>
            <w:shd w:val="clear" w:color="auto" w:fill="auto"/>
          </w:tcPr>
          <w:p w14:paraId="0831E3F4">
            <w:r>
              <w:t>Work Task ID</w:t>
            </w:r>
          </w:p>
        </w:tc>
        <w:tc>
          <w:tcPr>
            <w:tcW w:w="1570" w:type="dxa"/>
            <w:tcBorders>
              <w:top w:val="single" w:color="000000" w:sz="4" w:space="0"/>
              <w:left w:val="single" w:color="000000" w:sz="4" w:space="0"/>
              <w:bottom w:val="single" w:color="000000" w:sz="4" w:space="0"/>
              <w:right w:val="single" w:color="000000" w:sz="4" w:space="0"/>
            </w:tcBorders>
            <w:shd w:val="clear" w:color="auto" w:fill="auto"/>
          </w:tcPr>
          <w:p w14:paraId="7AF54F3C">
            <w:r>
              <w:t>TU Estimate</w:t>
            </w:r>
          </w:p>
          <w:p w14:paraId="17896638">
            <w:r>
              <w:t>(Study)</w:t>
            </w:r>
          </w:p>
        </w:tc>
        <w:tc>
          <w:tcPr>
            <w:tcW w:w="1480" w:type="dxa"/>
            <w:tcBorders>
              <w:top w:val="single" w:color="000000" w:sz="4" w:space="0"/>
              <w:left w:val="single" w:color="000000" w:sz="4" w:space="0"/>
              <w:bottom w:val="single" w:color="000000" w:sz="4" w:space="0"/>
              <w:right w:val="single" w:color="000000" w:sz="4" w:space="0"/>
            </w:tcBorders>
          </w:tcPr>
          <w:p w14:paraId="32AF324A">
            <w:r>
              <w:t>TU Estimate</w:t>
            </w:r>
          </w:p>
          <w:p w14:paraId="2AE77200">
            <w:r>
              <w:t>(Normative)</w:t>
            </w:r>
          </w:p>
        </w:tc>
        <w:tc>
          <w:tcPr>
            <w:tcW w:w="2105" w:type="dxa"/>
            <w:tcBorders>
              <w:top w:val="single" w:color="000000" w:sz="4" w:space="0"/>
              <w:left w:val="single" w:color="000000" w:sz="4" w:space="0"/>
              <w:bottom w:val="single" w:color="000000" w:sz="4" w:space="0"/>
              <w:right w:val="single" w:color="000000" w:sz="4" w:space="0"/>
            </w:tcBorders>
          </w:tcPr>
          <w:p w14:paraId="3DD9CF0F">
            <w:r>
              <w:t>RAN Dependency</w:t>
            </w:r>
          </w:p>
          <w:p w14:paraId="44EB711C">
            <w:r>
              <w:t>(Yes/No/Maybe)</w:t>
            </w:r>
          </w:p>
        </w:tc>
      </w:tr>
      <w:tr w14:paraId="0EA15CDA">
        <w:tblPrEx>
          <w:tblCellMar>
            <w:top w:w="0" w:type="dxa"/>
            <w:left w:w="108" w:type="dxa"/>
            <w:bottom w:w="0" w:type="dxa"/>
            <w:right w:w="108" w:type="dxa"/>
          </w:tblCellMar>
        </w:tblPrEx>
        <w:tc>
          <w:tcPr>
            <w:tcW w:w="1596" w:type="dxa"/>
            <w:tcBorders>
              <w:top w:val="single" w:color="000000" w:sz="4" w:space="0"/>
              <w:left w:val="single" w:color="000000" w:sz="4" w:space="0"/>
              <w:bottom w:val="single" w:color="000000" w:sz="4" w:space="0"/>
              <w:right w:val="single" w:color="000000" w:sz="4" w:space="0"/>
            </w:tcBorders>
            <w:shd w:val="clear" w:color="auto" w:fill="auto"/>
          </w:tcPr>
          <w:p w14:paraId="66CD5032">
            <w:pPr>
              <w:jc w:val="center"/>
              <w:rPr>
                <w:bCs/>
                <w:lang w:eastAsia="zh-CN"/>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tcPr>
          <w:p w14:paraId="6FB68262">
            <w:pPr>
              <w:jc w:val="center"/>
              <w:rPr>
                <w:bCs/>
                <w:lang w:eastAsia="zh-CN"/>
              </w:rPr>
            </w:pPr>
          </w:p>
        </w:tc>
        <w:tc>
          <w:tcPr>
            <w:tcW w:w="1480" w:type="dxa"/>
            <w:tcBorders>
              <w:top w:val="single" w:color="000000" w:sz="4" w:space="0"/>
              <w:left w:val="single" w:color="000000" w:sz="4" w:space="0"/>
              <w:bottom w:val="single" w:color="000000" w:sz="4" w:space="0"/>
              <w:right w:val="single" w:color="000000" w:sz="4" w:space="0"/>
            </w:tcBorders>
          </w:tcPr>
          <w:p w14:paraId="662943FB">
            <w:pPr>
              <w:jc w:val="center"/>
              <w:rPr>
                <w:bCs/>
                <w:lang w:eastAsia="zh-CN"/>
              </w:rPr>
            </w:pPr>
          </w:p>
        </w:tc>
        <w:tc>
          <w:tcPr>
            <w:tcW w:w="2105" w:type="dxa"/>
            <w:tcBorders>
              <w:top w:val="single" w:color="000000" w:sz="4" w:space="0"/>
              <w:left w:val="single" w:color="000000" w:sz="4" w:space="0"/>
              <w:bottom w:val="single" w:color="000000" w:sz="4" w:space="0"/>
              <w:right w:val="single" w:color="000000" w:sz="4" w:space="0"/>
            </w:tcBorders>
          </w:tcPr>
          <w:p w14:paraId="2576E665">
            <w:pPr>
              <w:jc w:val="center"/>
              <w:rPr>
                <w:bCs/>
                <w:lang w:eastAsia="zh-CN"/>
              </w:rPr>
            </w:pPr>
          </w:p>
        </w:tc>
      </w:tr>
      <w:tr w14:paraId="259513BB">
        <w:tblPrEx>
          <w:tblCellMar>
            <w:top w:w="0" w:type="dxa"/>
            <w:left w:w="108" w:type="dxa"/>
            <w:bottom w:w="0" w:type="dxa"/>
            <w:right w:w="108" w:type="dxa"/>
          </w:tblCellMar>
        </w:tblPrEx>
        <w:tc>
          <w:tcPr>
            <w:tcW w:w="1596" w:type="dxa"/>
            <w:tcBorders>
              <w:top w:val="single" w:color="000000" w:sz="4" w:space="0"/>
              <w:left w:val="single" w:color="000000" w:sz="4" w:space="0"/>
              <w:bottom w:val="single" w:color="000000" w:sz="4" w:space="0"/>
              <w:right w:val="single" w:color="000000" w:sz="4" w:space="0"/>
            </w:tcBorders>
            <w:shd w:val="clear" w:color="auto" w:fill="auto"/>
          </w:tcPr>
          <w:p w14:paraId="1F518A6B">
            <w:pPr>
              <w:jc w:val="center"/>
              <w:rPr>
                <w:bCs/>
                <w:lang w:eastAsia="zh-CN"/>
              </w:rPr>
            </w:pPr>
            <w:r>
              <w:rPr>
                <w:bCs/>
                <w:lang w:eastAsia="zh-CN"/>
              </w:rPr>
              <w:t>WT1: Security  requirements</w:t>
            </w:r>
          </w:p>
        </w:tc>
        <w:tc>
          <w:tcPr>
            <w:tcW w:w="1570" w:type="dxa"/>
            <w:tcBorders>
              <w:top w:val="single" w:color="000000" w:sz="4" w:space="0"/>
              <w:left w:val="single" w:color="000000" w:sz="4" w:space="0"/>
              <w:bottom w:val="single" w:color="000000" w:sz="4" w:space="0"/>
              <w:right w:val="single" w:color="000000" w:sz="4" w:space="0"/>
            </w:tcBorders>
            <w:shd w:val="clear" w:color="auto" w:fill="auto"/>
          </w:tcPr>
          <w:p w14:paraId="1AD6AEEF">
            <w:pPr>
              <w:jc w:val="center"/>
              <w:rPr>
                <w:rFonts w:hint="default"/>
                <w:bCs/>
                <w:lang w:val="en-US" w:eastAsia="zh-CN"/>
              </w:rPr>
            </w:pPr>
            <w:r>
              <w:rPr>
                <w:rFonts w:hint="eastAsia"/>
                <w:bCs/>
                <w:lang w:val="en-US" w:eastAsia="zh-CN"/>
              </w:rPr>
              <w:t>2</w:t>
            </w:r>
          </w:p>
        </w:tc>
        <w:tc>
          <w:tcPr>
            <w:tcW w:w="1480" w:type="dxa"/>
            <w:tcBorders>
              <w:top w:val="single" w:color="000000" w:sz="4" w:space="0"/>
              <w:left w:val="single" w:color="000000" w:sz="4" w:space="0"/>
              <w:bottom w:val="single" w:color="000000" w:sz="4" w:space="0"/>
              <w:right w:val="single" w:color="000000" w:sz="4" w:space="0"/>
            </w:tcBorders>
          </w:tcPr>
          <w:p w14:paraId="6371479C">
            <w:pPr>
              <w:jc w:val="center"/>
              <w:rPr>
                <w:bCs/>
                <w:lang w:eastAsia="zh-CN"/>
              </w:rPr>
            </w:pPr>
            <w:r>
              <w:rPr>
                <w:bCs/>
                <w:lang w:eastAsia="zh-CN"/>
              </w:rPr>
              <w:t>0.</w:t>
            </w:r>
            <w:r>
              <w:rPr>
                <w:rFonts w:hint="eastAsia"/>
                <w:bCs/>
                <w:lang w:val="en-US" w:eastAsia="zh-CN"/>
              </w:rPr>
              <w:t>5</w:t>
            </w:r>
          </w:p>
        </w:tc>
        <w:tc>
          <w:tcPr>
            <w:tcW w:w="2105" w:type="dxa"/>
            <w:tcBorders>
              <w:top w:val="single" w:color="000000" w:sz="4" w:space="0"/>
              <w:left w:val="single" w:color="000000" w:sz="4" w:space="0"/>
              <w:bottom w:val="single" w:color="000000" w:sz="4" w:space="0"/>
              <w:right w:val="single" w:color="000000" w:sz="4" w:space="0"/>
            </w:tcBorders>
          </w:tcPr>
          <w:p w14:paraId="67B78568">
            <w:pPr>
              <w:jc w:val="center"/>
              <w:rPr>
                <w:bCs/>
                <w:lang w:eastAsia="zh-CN"/>
              </w:rPr>
            </w:pPr>
            <w:r>
              <w:rPr>
                <w:bCs/>
                <w:lang w:eastAsia="zh-CN"/>
              </w:rPr>
              <w:t>No</w:t>
            </w:r>
          </w:p>
        </w:tc>
      </w:tr>
      <w:tr w14:paraId="0A0AFFAD">
        <w:tblPrEx>
          <w:tblCellMar>
            <w:top w:w="0" w:type="dxa"/>
            <w:left w:w="108" w:type="dxa"/>
            <w:bottom w:w="0" w:type="dxa"/>
            <w:right w:w="108" w:type="dxa"/>
          </w:tblCellMar>
        </w:tblPrEx>
        <w:tc>
          <w:tcPr>
            <w:tcW w:w="1596" w:type="dxa"/>
            <w:tcBorders>
              <w:top w:val="single" w:color="000000" w:sz="4" w:space="0"/>
              <w:left w:val="single" w:color="000000" w:sz="4" w:space="0"/>
              <w:bottom w:val="single" w:color="000000" w:sz="4" w:space="0"/>
              <w:right w:val="single" w:color="000000" w:sz="4" w:space="0"/>
            </w:tcBorders>
            <w:shd w:val="clear" w:color="auto" w:fill="auto"/>
          </w:tcPr>
          <w:p w14:paraId="6A92F034">
            <w:pPr>
              <w:jc w:val="center"/>
              <w:rPr>
                <w:rFonts w:hint="default"/>
                <w:bCs/>
                <w:lang w:val="en-US" w:eastAsia="zh-CN"/>
              </w:rPr>
            </w:pPr>
            <w:r>
              <w:rPr>
                <w:bCs/>
                <w:lang w:eastAsia="zh-CN"/>
              </w:rPr>
              <w:t xml:space="preserve">WT2: </w:t>
            </w:r>
            <w:r>
              <w:rPr>
                <w:rFonts w:hint="eastAsia"/>
                <w:bCs/>
                <w:lang w:val="en-US" w:eastAsia="zh-CN"/>
              </w:rPr>
              <w:t>Impact s</w:t>
            </w:r>
            <w:r>
              <w:rPr>
                <w:bCs/>
                <w:lang w:eastAsia="zh-CN"/>
              </w:rPr>
              <w:t xml:space="preserve">ecurity </w:t>
            </w:r>
            <w:r>
              <w:rPr>
                <w:rFonts w:hint="eastAsia"/>
                <w:bCs/>
                <w:lang w:val="en-US" w:eastAsia="zh-CN"/>
              </w:rPr>
              <w:t>policy</w:t>
            </w:r>
          </w:p>
        </w:tc>
        <w:tc>
          <w:tcPr>
            <w:tcW w:w="1570" w:type="dxa"/>
            <w:tcBorders>
              <w:top w:val="single" w:color="000000" w:sz="4" w:space="0"/>
              <w:left w:val="single" w:color="000000" w:sz="4" w:space="0"/>
              <w:bottom w:val="single" w:color="000000" w:sz="4" w:space="0"/>
              <w:right w:val="single" w:color="000000" w:sz="4" w:space="0"/>
            </w:tcBorders>
            <w:shd w:val="clear" w:color="auto" w:fill="auto"/>
          </w:tcPr>
          <w:p w14:paraId="1C355B29">
            <w:pPr>
              <w:jc w:val="center"/>
              <w:rPr>
                <w:rFonts w:hint="default"/>
                <w:bCs/>
                <w:lang w:val="en-US" w:eastAsia="zh-CN"/>
              </w:rPr>
            </w:pPr>
            <w:r>
              <w:rPr>
                <w:rFonts w:hint="eastAsia"/>
                <w:bCs/>
                <w:lang w:val="en-US" w:eastAsia="zh-CN"/>
              </w:rPr>
              <w:t>3</w:t>
            </w:r>
          </w:p>
        </w:tc>
        <w:tc>
          <w:tcPr>
            <w:tcW w:w="1480" w:type="dxa"/>
            <w:tcBorders>
              <w:top w:val="single" w:color="000000" w:sz="4" w:space="0"/>
              <w:left w:val="single" w:color="000000" w:sz="4" w:space="0"/>
              <w:bottom w:val="single" w:color="000000" w:sz="4" w:space="0"/>
              <w:right w:val="single" w:color="000000" w:sz="4" w:space="0"/>
            </w:tcBorders>
          </w:tcPr>
          <w:p w14:paraId="7ABE30DC">
            <w:pPr>
              <w:jc w:val="center"/>
              <w:rPr>
                <w:rFonts w:hint="default"/>
                <w:bCs/>
                <w:lang w:val="en-US" w:eastAsia="zh-CN"/>
              </w:rPr>
            </w:pPr>
            <w:r>
              <w:rPr>
                <w:rFonts w:hint="eastAsia"/>
                <w:bCs/>
                <w:lang w:val="en-US" w:eastAsia="zh-CN"/>
              </w:rPr>
              <w:t>0.5</w:t>
            </w:r>
          </w:p>
        </w:tc>
        <w:tc>
          <w:tcPr>
            <w:tcW w:w="2105" w:type="dxa"/>
            <w:tcBorders>
              <w:top w:val="single" w:color="000000" w:sz="4" w:space="0"/>
              <w:left w:val="single" w:color="000000" w:sz="4" w:space="0"/>
              <w:bottom w:val="single" w:color="000000" w:sz="4" w:space="0"/>
              <w:right w:val="single" w:color="000000" w:sz="4" w:space="0"/>
            </w:tcBorders>
          </w:tcPr>
          <w:p w14:paraId="4AB7603D">
            <w:pPr>
              <w:jc w:val="center"/>
              <w:rPr>
                <w:bCs/>
                <w:lang w:eastAsia="zh-CN"/>
              </w:rPr>
            </w:pPr>
            <w:r>
              <w:rPr>
                <w:bCs/>
                <w:lang w:eastAsia="zh-CN"/>
              </w:rPr>
              <w:t>No</w:t>
            </w:r>
          </w:p>
        </w:tc>
      </w:tr>
    </w:tbl>
    <w:p w14:paraId="0FA1DDFB"/>
    <w:p w14:paraId="34E54318">
      <w:pPr>
        <w:rPr>
          <w:lang w:eastAsia="zh-CN"/>
        </w:rPr>
      </w:pPr>
      <w:r>
        <w:t xml:space="preserve">Total TU estimates for the study phase:   </w:t>
      </w:r>
      <w:r>
        <w:rPr>
          <w:rFonts w:hint="eastAsia" w:eastAsia="宋体"/>
          <w:lang w:val="en-US" w:eastAsia="zh-CN"/>
        </w:rPr>
        <w:t>5</w:t>
      </w:r>
      <w:r>
        <w:t xml:space="preserve"> </w:t>
      </w:r>
    </w:p>
    <w:p w14:paraId="4E4E6C2F">
      <w:pPr>
        <w:rPr>
          <w:rFonts w:hint="eastAsia" w:eastAsia="宋体"/>
          <w:lang w:val="en-US" w:eastAsia="zh-CN"/>
        </w:rPr>
      </w:pPr>
      <w:r>
        <w:rPr>
          <w:lang w:val="en-US"/>
        </w:rPr>
        <w:t xml:space="preserve">Total TU estimates for the normative phase:  </w:t>
      </w:r>
      <w:r>
        <w:rPr>
          <w:rFonts w:hint="eastAsia" w:eastAsia="宋体"/>
          <w:lang w:val="en-US" w:eastAsia="zh-CN"/>
        </w:rPr>
        <w:t>1</w:t>
      </w:r>
    </w:p>
    <w:p w14:paraId="0007F2CD">
      <w:pPr>
        <w:rPr>
          <w:rFonts w:hint="eastAsia" w:eastAsia="宋体"/>
          <w:lang w:val="en-US" w:eastAsia="zh-CN"/>
        </w:rPr>
      </w:pPr>
      <w:r>
        <w:rPr>
          <w:lang w:val="en-US"/>
        </w:rPr>
        <w:t xml:space="preserve">Total TU estimates: </w:t>
      </w:r>
      <w:r>
        <w:rPr>
          <w:rFonts w:hint="eastAsia" w:eastAsia="宋体"/>
          <w:lang w:val="en-US" w:eastAsia="zh-CN"/>
        </w:rPr>
        <w:t>6</w:t>
      </w:r>
    </w:p>
    <w:p w14:paraId="2B6E607D">
      <w:pPr>
        <w:pStyle w:val="23"/>
      </w:pPr>
    </w:p>
    <w:p w14:paraId="28402A1F"/>
    <w:p w14:paraId="409CA45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14:paraId="45BD6CAB"/>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26"/>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26"/>
            </w:pPr>
            <w:r>
              <w:t xml:space="preserve">Type </w:t>
            </w:r>
          </w:p>
        </w:tc>
        <w:tc>
          <w:tcPr>
            <w:tcW w:w="1134" w:type="dxa"/>
            <w:shd w:val="clear" w:color="auto" w:fill="D9D9D9"/>
            <w:tcMar>
              <w:left w:w="57" w:type="dxa"/>
              <w:right w:w="57" w:type="dxa"/>
            </w:tcMar>
          </w:tcPr>
          <w:p w14:paraId="20FC5D3B">
            <w:pPr>
              <w:pStyle w:val="26"/>
            </w:pPr>
            <w:r>
              <w:t>TS/TR number</w:t>
            </w:r>
          </w:p>
        </w:tc>
        <w:tc>
          <w:tcPr>
            <w:tcW w:w="2409" w:type="dxa"/>
            <w:shd w:val="clear" w:color="auto" w:fill="D9D9D9"/>
            <w:tcMar>
              <w:left w:w="57" w:type="dxa"/>
              <w:right w:w="57" w:type="dxa"/>
            </w:tcMar>
          </w:tcPr>
          <w:p w14:paraId="0C917615">
            <w:pPr>
              <w:pStyle w:val="26"/>
            </w:pPr>
            <w:r>
              <w:t>Title</w:t>
            </w:r>
          </w:p>
        </w:tc>
        <w:tc>
          <w:tcPr>
            <w:tcW w:w="993" w:type="dxa"/>
            <w:shd w:val="clear" w:color="auto" w:fill="D9D9D9"/>
            <w:tcMar>
              <w:left w:w="57" w:type="dxa"/>
              <w:right w:w="57" w:type="dxa"/>
            </w:tcMar>
          </w:tcPr>
          <w:p w14:paraId="436BA858">
            <w:pPr>
              <w:pStyle w:val="26"/>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26"/>
            </w:pPr>
            <w:r>
              <w:t>For approval at TSG#</w:t>
            </w:r>
          </w:p>
        </w:tc>
        <w:tc>
          <w:tcPr>
            <w:tcW w:w="2186" w:type="dxa"/>
            <w:shd w:val="clear" w:color="auto" w:fill="D9D9D9"/>
            <w:tcMar>
              <w:left w:w="57" w:type="dxa"/>
              <w:right w:w="57" w:type="dxa"/>
            </w:tcMar>
          </w:tcPr>
          <w:p w14:paraId="138BC39E">
            <w:pPr>
              <w:pStyle w:val="26"/>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194449B4">
            <w:pPr>
              <w:pStyle w:val="23"/>
              <w:spacing w:after="0"/>
            </w:pPr>
            <w:r>
              <w:t>Internal TR</w:t>
            </w:r>
          </w:p>
        </w:tc>
        <w:tc>
          <w:tcPr>
            <w:tcW w:w="1134" w:type="dxa"/>
          </w:tcPr>
          <w:p w14:paraId="1581EDBA">
            <w:pPr>
              <w:pStyle w:val="23"/>
              <w:spacing w:after="0"/>
              <w:rPr>
                <w:rFonts w:hint="default" w:eastAsia="宋体"/>
                <w:lang w:val="en-US" w:eastAsia="zh-CN"/>
              </w:rPr>
            </w:pPr>
            <w:r>
              <w:rPr>
                <w:rFonts w:hint="eastAsia" w:eastAsia="宋体"/>
                <w:lang w:val="en-US" w:eastAsia="zh-CN"/>
              </w:rPr>
              <w:t>33.abc</w:t>
            </w:r>
          </w:p>
        </w:tc>
        <w:tc>
          <w:tcPr>
            <w:tcW w:w="2409" w:type="dxa"/>
          </w:tcPr>
          <w:p w14:paraId="3489ADFF">
            <w:pPr>
              <w:pStyle w:val="23"/>
              <w:spacing w:after="0"/>
            </w:pPr>
            <w:r>
              <w:rPr>
                <w:rFonts w:hint="eastAsia"/>
              </w:rPr>
              <w:t>Study on enhanced security management service about security policy execution</w:t>
            </w:r>
          </w:p>
        </w:tc>
        <w:tc>
          <w:tcPr>
            <w:tcW w:w="993" w:type="dxa"/>
          </w:tcPr>
          <w:p w14:paraId="0037CC25">
            <w:pPr>
              <w:pStyle w:val="23"/>
              <w:spacing w:before="0" w:after="0"/>
              <w:rPr>
                <w:rFonts w:hint="default" w:eastAsia="宋体"/>
                <w:lang w:val="en-US" w:eastAsia="zh-CN"/>
              </w:rPr>
            </w:pPr>
            <w:r>
              <w:t>SA#1</w:t>
            </w:r>
            <w:r>
              <w:rPr>
                <w:rFonts w:hint="eastAsia" w:eastAsia="宋体"/>
                <w:lang w:val="en-US" w:eastAsia="zh-CN"/>
              </w:rPr>
              <w:t>10</w:t>
            </w:r>
          </w:p>
          <w:p w14:paraId="35521AD3">
            <w:pPr>
              <w:pStyle w:val="23"/>
              <w:spacing w:after="0"/>
            </w:pPr>
            <w:r>
              <w:t>(</w:t>
            </w:r>
            <w:r>
              <w:rPr>
                <w:rFonts w:hint="eastAsia" w:eastAsia="宋体"/>
                <w:lang w:val="en-US" w:eastAsia="zh-CN"/>
              </w:rPr>
              <w:t>December</w:t>
            </w:r>
            <w:r>
              <w:t xml:space="preserve"> 2025)</w:t>
            </w:r>
          </w:p>
        </w:tc>
        <w:tc>
          <w:tcPr>
            <w:tcW w:w="1074" w:type="dxa"/>
          </w:tcPr>
          <w:p w14:paraId="4CEE82D2">
            <w:pPr>
              <w:pStyle w:val="23"/>
              <w:spacing w:before="0" w:after="0"/>
              <w:rPr>
                <w:rFonts w:hint="default" w:eastAsia="宋体"/>
                <w:lang w:val="en-US" w:eastAsia="zh-CN"/>
              </w:rPr>
            </w:pPr>
            <w:r>
              <w:t>SA#1</w:t>
            </w:r>
            <w:r>
              <w:rPr>
                <w:rFonts w:hint="eastAsia" w:eastAsia="宋体"/>
                <w:lang w:val="en-US" w:eastAsia="zh-CN"/>
              </w:rPr>
              <w:t>12</w:t>
            </w:r>
          </w:p>
          <w:p w14:paraId="54054A18">
            <w:pPr>
              <w:pStyle w:val="23"/>
              <w:spacing w:after="0"/>
            </w:pPr>
            <w:r>
              <w:t>(</w:t>
            </w:r>
            <w:r>
              <w:rPr>
                <w:rFonts w:hint="eastAsia" w:eastAsia="宋体"/>
                <w:lang w:val="en-US" w:eastAsia="zh-CN"/>
              </w:rPr>
              <w:t>June</w:t>
            </w:r>
            <w:r>
              <w:t xml:space="preserve"> 202</w:t>
            </w:r>
            <w:r>
              <w:rPr>
                <w:rFonts w:hint="eastAsia" w:eastAsia="宋体"/>
                <w:lang w:val="en-US" w:eastAsia="zh-CN"/>
              </w:rPr>
              <w:t>6</w:t>
            </w:r>
            <w:r>
              <w:t>)</w:t>
            </w:r>
          </w:p>
        </w:tc>
        <w:tc>
          <w:tcPr>
            <w:tcW w:w="2186" w:type="dxa"/>
          </w:tcPr>
          <w:p w14:paraId="71B3D7AE">
            <w:pPr>
              <w:pStyle w:val="23"/>
              <w:spacing w:after="0"/>
              <w:rPr>
                <w:rFonts w:hint="default" w:eastAsia="宋体"/>
                <w:lang w:val="en-US" w:eastAsia="zh-CN"/>
              </w:rPr>
            </w:pPr>
            <w:r>
              <w:rPr>
                <w:rFonts w:hint="eastAsia" w:eastAsia="宋体"/>
                <w:lang w:val="en-US" w:eastAsia="zh-CN"/>
              </w:rPr>
              <w:t>TBD</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25"/>
            </w:pPr>
          </w:p>
        </w:tc>
        <w:tc>
          <w:tcPr>
            <w:tcW w:w="1134" w:type="dxa"/>
          </w:tcPr>
          <w:p w14:paraId="5F684E95">
            <w:pPr>
              <w:pStyle w:val="25"/>
            </w:pPr>
          </w:p>
        </w:tc>
        <w:tc>
          <w:tcPr>
            <w:tcW w:w="2409" w:type="dxa"/>
          </w:tcPr>
          <w:p w14:paraId="3F9BA4C9">
            <w:pPr>
              <w:pStyle w:val="25"/>
            </w:pPr>
          </w:p>
        </w:tc>
        <w:tc>
          <w:tcPr>
            <w:tcW w:w="993" w:type="dxa"/>
          </w:tcPr>
          <w:p w14:paraId="510D9A1F">
            <w:pPr>
              <w:pStyle w:val="25"/>
            </w:pPr>
          </w:p>
        </w:tc>
        <w:tc>
          <w:tcPr>
            <w:tcW w:w="1074" w:type="dxa"/>
          </w:tcPr>
          <w:p w14:paraId="11DE6EB5">
            <w:pPr>
              <w:pStyle w:val="25"/>
            </w:pPr>
          </w:p>
        </w:tc>
        <w:tc>
          <w:tcPr>
            <w:tcW w:w="2186" w:type="dxa"/>
          </w:tcPr>
          <w:p w14:paraId="1D49C842">
            <w:pPr>
              <w:pStyle w:val="25"/>
            </w:pPr>
          </w:p>
        </w:tc>
      </w:tr>
    </w:tbl>
    <w:p w14:paraId="7EC5BA9E">
      <w:pPr>
        <w:pStyle w:val="28"/>
      </w:pPr>
    </w:p>
    <w:p w14:paraId="2FE095C7"/>
    <w:p w14:paraId="55DEC2A4">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14:paraId="250CADCC">
      <w:pPr>
        <w:rPr>
          <w:rFonts w:hint="eastAsia" w:eastAsia="宋体"/>
          <w:lang w:val="en-US" w:eastAsia="zh-CN"/>
        </w:rPr>
      </w:pPr>
      <w:r>
        <w:rPr>
          <w:rFonts w:hint="eastAsia" w:eastAsia="宋体"/>
          <w:lang w:val="en-US" w:eastAsia="zh-CN"/>
        </w:rPr>
        <w:t>TBD</w:t>
      </w:r>
    </w:p>
    <w:p w14:paraId="4A097051">
      <w:pPr>
        <w:rPr>
          <w:rFonts w:hint="default" w:eastAsia="宋体"/>
          <w:lang w:val="en-US" w:eastAsia="zh-CN"/>
        </w:rPr>
      </w:pPr>
    </w:p>
    <w:p w14:paraId="72743EA7">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14:paraId="0B94DB22">
      <w:pPr>
        <w:rPr>
          <w:rFonts w:hint="eastAsia" w:eastAsia="宋体"/>
          <w:lang w:val="en-US" w:eastAsia="zh-CN"/>
        </w:rPr>
      </w:pPr>
      <w:r>
        <w:rPr>
          <w:rFonts w:hint="eastAsia" w:eastAsia="宋体"/>
          <w:lang w:val="en-US" w:eastAsia="zh-CN"/>
        </w:rPr>
        <w:t>SA3</w:t>
      </w:r>
    </w:p>
    <w:p w14:paraId="7400A8A7">
      <w:pPr>
        <w:rPr>
          <w:rFonts w:hint="default" w:eastAsia="宋体"/>
          <w:lang w:val="en-US" w:eastAsia="zh-CN"/>
        </w:rPr>
      </w:pPr>
    </w:p>
    <w:p w14:paraId="68A766BD">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14:paraId="798971FA">
      <w:pPr>
        <w:rPr>
          <w:rFonts w:hint="default" w:eastAsia="宋体"/>
          <w:lang w:val="en-US" w:eastAsia="zh-CN"/>
        </w:rPr>
      </w:pPr>
      <w:r>
        <w:rPr>
          <w:rFonts w:hint="eastAsia" w:eastAsia="宋体"/>
          <w:lang w:val="en-US" w:eastAsia="zh-CN"/>
        </w:rPr>
        <w:t>N/A</w:t>
      </w:r>
    </w:p>
    <w:p w14:paraId="28E68586">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26"/>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25"/>
              <w:rPr>
                <w:rFonts w:hint="default" w:eastAsia="宋体"/>
                <w:lang w:val="en-US" w:eastAsia="zh-CN"/>
              </w:rPr>
            </w:pPr>
            <w:r>
              <w:rPr>
                <w:rFonts w:hint="eastAsia" w:eastAsia="宋体"/>
                <w:lang w:val="en-US" w:eastAsia="zh-CN"/>
              </w:rPr>
              <w:t>China Mobile</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25"/>
            </w:pP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25"/>
            </w:pP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25"/>
            </w:pP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25"/>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25"/>
            </w:pPr>
          </w:p>
        </w:tc>
      </w:tr>
    </w:tbl>
    <w:p w14:paraId="30E19F71"/>
    <w:p w14:paraId="00994B1D"/>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Batang">
    <w:panose1 w:val="02030600000101010101"/>
    <w:charset w:val="81"/>
    <w:family w:val="roman"/>
    <w:pitch w:val="default"/>
    <w:sig w:usb0="B00002AF" w:usb1="69D77CFB" w:usb2="00000030" w:usb3="00000000" w:csb0="4008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multilevel"/>
    <w:tmpl w:val="00000000"/>
    <w:lvl w:ilvl="0" w:tentative="0">
      <w:start w:val="1"/>
      <w:numFmt w:val="bullet"/>
      <w:lvlText w:val="−"/>
      <w:lvlJc w:val="left"/>
      <w:pPr>
        <w:ind w:left="420" w:leftChars="0" w:hanging="420" w:firstLineChars="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00000001"/>
    <w:multiLevelType w:val="singleLevel"/>
    <w:tmpl w:val="00000001"/>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62F70C7"/>
    <w:rsid w:val="563108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nhideWhenUsed="0" w:uiPriority="0" w:semiHidden="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qFormat/>
    <w:uiPriority w:val="0"/>
    <w:pPr>
      <w:keepNext/>
      <w:keepLines/>
      <w:spacing w:before="40"/>
      <w:outlineLvl w:val="7"/>
    </w:pPr>
    <w:rPr>
      <w:rFonts w:ascii="Calibri Light" w:hAnsi="Calibri Light" w:eastAsia="等线 Light" w:cs="宋体"/>
      <w:color w:val="262626"/>
      <w:sz w:val="21"/>
      <w:szCs w:val="21"/>
    </w:rPr>
  </w:style>
  <w:style w:type="character" w:default="1" w:styleId="15">
    <w:name w:val="Default Paragraph Font"/>
    <w:uiPriority w:val="1"/>
  </w:style>
  <w:style w:type="table" w:default="1" w:styleId="14">
    <w:name w:val="Normal Table"/>
    <w:qFormat/>
    <w:uiPriority w:val="99"/>
    <w:tblPr>
      <w:tblCellMar>
        <w:top w:w="0" w:type="dxa"/>
        <w:left w:w="108" w:type="dxa"/>
        <w:bottom w:w="0" w:type="dxa"/>
        <w:right w:w="108" w:type="dxa"/>
      </w:tblCellMar>
    </w:tblPr>
  </w:style>
  <w:style w:type="paragraph" w:styleId="8">
    <w:name w:val="annotation text"/>
    <w:basedOn w:val="1"/>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link w:val="31"/>
    <w:qFormat/>
    <w:uiPriority w:val="0"/>
    <w:pPr>
      <w:tabs>
        <w:tab w:val="center" w:pos="4153"/>
        <w:tab w:val="right" w:pos="8306"/>
      </w:tabs>
    </w:pPr>
  </w:style>
  <w:style w:type="paragraph" w:styleId="12">
    <w:name w:val="toc 9"/>
    <w:basedOn w:val="9"/>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qFormat/>
    <w:uiPriority w:val="0"/>
    <w:pPr>
      <w:keepLines/>
    </w:pPr>
  </w:style>
  <w:style w:type="character" w:styleId="16">
    <w:name w:val="page number"/>
    <w:basedOn w:val="15"/>
    <w:qFormat/>
    <w:uiPriority w:val="0"/>
  </w:style>
  <w:style w:type="paragraph" w:customStyle="1" w:styleId="17">
    <w:name w:val="B1"/>
    <w:basedOn w:val="1"/>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_9c450e8a-1614-444a-93e7-73393b1a9ff1"/>
    <w:basedOn w:val="15"/>
    <w:link w:val="7"/>
    <w:qFormat/>
    <w:uiPriority w:val="0"/>
    <w:rPr>
      <w:rFonts w:ascii="Calibri Light" w:hAnsi="Calibri Light" w:eastAsia="等线 Light" w:cs="宋体"/>
      <w:color w:val="262626"/>
      <w:sz w:val="21"/>
      <w:szCs w:val="21"/>
      <w:lang w:eastAsia="en-US"/>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_fae54208-4cb5-42e4-a14a-504aa676cb67"/>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31">
    <w:name w:val="Header Char_6a481119-dbf5-4a4c-8242-d8f932370951"/>
    <w:link w:val="11"/>
    <w:qFormat/>
    <w:uiPriority w:val="0"/>
    <w:rPr>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884</Words>
  <Characters>4758</Characters>
  <Paragraphs>208</Paragraphs>
  <TotalTime>3</TotalTime>
  <ScaleCrop>false</ScaleCrop>
  <LinksUpToDate>false</LinksUpToDate>
  <CharactersWithSpaces>5530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Minpeng</cp:lastModifiedBy>
  <cp:lastPrinted>2001-04-23T09:30:00Z</cp:lastPrinted>
  <dcterms:modified xsi:type="dcterms:W3CDTF">2025-02-10T10:48:17Z</dcterms:modified>
  <dc:title>Source: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eyJoZGlkIjoiYWUyYzAyNzYyY2VjOTAwYjAxZDkyYTNiNzNmNWI3ZDAiLCJ1c2VySWQiOiIxMTc5NDQ2Mjk0In0=</vt:lpwstr>
  </property>
  <property fmtid="{D5CDD505-2E9C-101B-9397-08002B2CF9AE}" pid="3" name="KSOProductBuildVer">
    <vt:lpwstr>2052-12.8.2.18205</vt:lpwstr>
  </property>
  <property fmtid="{D5CDD505-2E9C-101B-9397-08002B2CF9AE}" pid="4" name="ICV">
    <vt:lpwstr>3245F247A8F349F9803DC06A2569C4C0_13</vt:lpwstr>
  </property>
</Properties>
</file>